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521" w:rsidRPr="003539B6" w:rsidRDefault="00C90521" w:rsidP="00C90521">
      <w:pPr>
        <w:spacing w:after="0" w:line="240" w:lineRule="auto"/>
        <w:rPr>
          <w:rFonts w:ascii="Calibri Light" w:eastAsia="Calibri" w:hAnsi="Calibri Light" w:cs="Calibri Light"/>
          <w:sz w:val="21"/>
          <w:szCs w:val="21"/>
          <w:highlight w:val="yellow"/>
        </w:rPr>
      </w:pPr>
      <w:r w:rsidRPr="003539B6">
        <w:rPr>
          <w:rFonts w:ascii="Calibri Light" w:eastAsia="Calibri" w:hAnsi="Calibri Light" w:cs="Calibri Light"/>
          <w:sz w:val="21"/>
          <w:szCs w:val="21"/>
          <w:highlight w:val="yellow"/>
        </w:rPr>
        <w:t>[NAME]</w:t>
      </w:r>
    </w:p>
    <w:p w:rsidR="00C90521" w:rsidRPr="003539B6" w:rsidRDefault="00C90521" w:rsidP="00C90521">
      <w:pPr>
        <w:spacing w:after="0" w:line="240" w:lineRule="auto"/>
        <w:rPr>
          <w:rFonts w:ascii="Calibri Light" w:eastAsia="Calibri" w:hAnsi="Calibri Light" w:cs="Calibri Light"/>
          <w:sz w:val="21"/>
          <w:szCs w:val="21"/>
          <w:highlight w:val="yellow"/>
        </w:rPr>
      </w:pPr>
      <w:r w:rsidRPr="003539B6">
        <w:rPr>
          <w:rFonts w:ascii="Calibri Light" w:eastAsia="Calibri" w:hAnsi="Calibri Light" w:cs="Calibri Light"/>
          <w:sz w:val="21"/>
          <w:szCs w:val="21"/>
          <w:highlight w:val="yellow"/>
        </w:rPr>
        <w:t>[STREET ADDRESS]</w:t>
      </w:r>
    </w:p>
    <w:p w:rsidR="00C90521" w:rsidRPr="003539B6" w:rsidRDefault="00C90521" w:rsidP="00C90521">
      <w:pPr>
        <w:spacing w:after="0" w:line="240" w:lineRule="auto"/>
        <w:rPr>
          <w:rFonts w:ascii="Calibri Light" w:eastAsia="Calibri" w:hAnsi="Calibri Light" w:cs="Calibri Light"/>
          <w:sz w:val="21"/>
          <w:szCs w:val="21"/>
          <w:highlight w:val="yellow"/>
        </w:rPr>
      </w:pPr>
      <w:r w:rsidRPr="003539B6">
        <w:rPr>
          <w:rFonts w:ascii="Calibri Light" w:eastAsia="Calibri" w:hAnsi="Calibri Light" w:cs="Calibri Light"/>
          <w:sz w:val="21"/>
          <w:szCs w:val="21"/>
          <w:highlight w:val="yellow"/>
        </w:rPr>
        <w:t>[CITY, STATE AND POSTAL CODE]</w:t>
      </w:r>
    </w:p>
    <w:p w:rsidR="00C90521" w:rsidRPr="003539B6" w:rsidRDefault="00C90521" w:rsidP="00C90521">
      <w:pPr>
        <w:spacing w:after="0" w:line="240" w:lineRule="auto"/>
        <w:rPr>
          <w:rFonts w:ascii="Calibri Light" w:eastAsia="Calibri" w:hAnsi="Calibri Light" w:cs="Calibri Light"/>
          <w:sz w:val="21"/>
          <w:szCs w:val="21"/>
          <w:highlight w:val="yellow"/>
        </w:rPr>
      </w:pPr>
    </w:p>
    <w:p w:rsidR="00C90521" w:rsidRPr="003539B6" w:rsidRDefault="00C90521" w:rsidP="00C90521">
      <w:pPr>
        <w:spacing w:after="0" w:line="240" w:lineRule="auto"/>
        <w:rPr>
          <w:rFonts w:ascii="Calibri Light" w:eastAsia="Calibri" w:hAnsi="Calibri Light" w:cs="Calibri Light"/>
          <w:sz w:val="21"/>
          <w:szCs w:val="21"/>
          <w:highlight w:val="yellow"/>
        </w:rPr>
      </w:pPr>
      <w:r w:rsidRPr="003539B6">
        <w:rPr>
          <w:rFonts w:ascii="Calibri Light" w:eastAsia="Calibri" w:hAnsi="Calibri Light" w:cs="Calibri Light"/>
          <w:sz w:val="21"/>
          <w:szCs w:val="21"/>
          <w:highlight w:val="yellow"/>
        </w:rPr>
        <w:t>[DATE]</w:t>
      </w:r>
    </w:p>
    <w:p w:rsidR="00C90521" w:rsidRPr="003539B6" w:rsidRDefault="00C90521" w:rsidP="00C90521">
      <w:pPr>
        <w:spacing w:after="0" w:line="240" w:lineRule="auto"/>
        <w:rPr>
          <w:rFonts w:ascii="Calibri Light" w:eastAsia="Calibri" w:hAnsi="Calibri Light" w:cs="Calibri Light"/>
          <w:sz w:val="21"/>
          <w:szCs w:val="21"/>
          <w:highlight w:val="yellow"/>
        </w:rPr>
      </w:pPr>
    </w:p>
    <w:p w:rsidR="00C90521" w:rsidRPr="00E27A50" w:rsidRDefault="00C90521" w:rsidP="00C90521">
      <w:pPr>
        <w:spacing w:after="0" w:line="240" w:lineRule="auto"/>
        <w:rPr>
          <w:rFonts w:ascii="Calibri Light" w:eastAsia="Calibri" w:hAnsi="Calibri Light" w:cs="Calibri Light"/>
          <w:sz w:val="21"/>
          <w:szCs w:val="21"/>
        </w:rPr>
      </w:pPr>
      <w:r w:rsidRPr="003539B6">
        <w:rPr>
          <w:rFonts w:ascii="Calibri Light" w:eastAsia="Calibri" w:hAnsi="Calibri Light" w:cs="Calibri Light"/>
          <w:sz w:val="21"/>
          <w:szCs w:val="21"/>
          <w:highlight w:val="yellow"/>
        </w:rPr>
        <w:t>Dear [NAME]:</w:t>
      </w:r>
    </w:p>
    <w:p w:rsidR="00C90521" w:rsidRPr="00E27A50" w:rsidRDefault="00C90521" w:rsidP="00C90521">
      <w:pPr>
        <w:spacing w:after="0" w:line="240" w:lineRule="auto"/>
        <w:rPr>
          <w:rFonts w:ascii="Calibri Light" w:eastAsia="Calibri" w:hAnsi="Calibri Light" w:cs="Calibri Light"/>
          <w:sz w:val="21"/>
          <w:szCs w:val="21"/>
        </w:rPr>
      </w:pPr>
    </w:p>
    <w:p w:rsidR="00C90521" w:rsidRPr="004A160A" w:rsidRDefault="00C90521" w:rsidP="00C90521">
      <w:pPr>
        <w:spacing w:after="0" w:line="240" w:lineRule="auto"/>
        <w:rPr>
          <w:rFonts w:ascii="Calibri Light" w:eastAsia="Calibri" w:hAnsi="Calibri Light" w:cs="Calibri Light"/>
          <w:b/>
          <w:sz w:val="21"/>
          <w:szCs w:val="21"/>
        </w:rPr>
      </w:pPr>
      <w:r w:rsidRPr="004A160A">
        <w:rPr>
          <w:rFonts w:ascii="Calibri Light" w:eastAsia="Calibri" w:hAnsi="Calibri Light" w:cs="Calibri Light"/>
          <w:b/>
          <w:sz w:val="21"/>
          <w:szCs w:val="21"/>
        </w:rPr>
        <w:t>Re: Data Security Breach</w:t>
      </w:r>
    </w:p>
    <w:p w:rsidR="00C90521" w:rsidRPr="00E27A50" w:rsidRDefault="00C90521" w:rsidP="00C90521">
      <w:pPr>
        <w:spacing w:after="0" w:line="240" w:lineRule="auto"/>
        <w:rPr>
          <w:rFonts w:ascii="Calibri Light" w:eastAsia="Calibri" w:hAnsi="Calibri Light" w:cs="Calibri Light"/>
          <w:sz w:val="21"/>
          <w:szCs w:val="21"/>
        </w:rPr>
      </w:pPr>
    </w:p>
    <w:p w:rsidR="00C90521" w:rsidRPr="00E27A50" w:rsidRDefault="00C90521" w:rsidP="00C90521">
      <w:pPr>
        <w:spacing w:after="0" w:line="240" w:lineRule="auto"/>
        <w:jc w:val="both"/>
        <w:rPr>
          <w:rFonts w:ascii="Calibri Light" w:eastAsia="Calibri" w:hAnsi="Calibri Light" w:cs="Calibri Light"/>
          <w:sz w:val="21"/>
          <w:szCs w:val="21"/>
        </w:rPr>
      </w:pPr>
      <w:r w:rsidRPr="00E27A50">
        <w:rPr>
          <w:rFonts w:ascii="Calibri Light" w:eastAsia="Calibri" w:hAnsi="Calibri Light" w:cs="Calibri Light"/>
          <w:sz w:val="21"/>
          <w:szCs w:val="21"/>
        </w:rPr>
        <w:t xml:space="preserve">We are writing to </w:t>
      </w:r>
      <w:r w:rsidR="004A160A">
        <w:rPr>
          <w:rFonts w:ascii="Calibri Light" w:eastAsia="Calibri" w:hAnsi="Calibri Light" w:cs="Calibri Light"/>
          <w:sz w:val="21"/>
          <w:szCs w:val="21"/>
        </w:rPr>
        <w:t>inform you</w:t>
      </w:r>
      <w:r w:rsidRPr="00E27A50">
        <w:rPr>
          <w:rFonts w:ascii="Calibri Light" w:eastAsia="Calibri" w:hAnsi="Calibri Light" w:cs="Calibri Light"/>
          <w:sz w:val="21"/>
          <w:szCs w:val="21"/>
        </w:rPr>
        <w:t xml:space="preserve"> that on or about </w:t>
      </w:r>
      <w:r w:rsidR="00FA74F2" w:rsidRPr="00FA74F2">
        <w:rPr>
          <w:rFonts w:ascii="Calibri Light" w:eastAsia="Calibri" w:hAnsi="Calibri Light" w:cs="Calibri Light"/>
          <w:sz w:val="21"/>
          <w:szCs w:val="21"/>
        </w:rPr>
        <w:t>July 16, 2021</w:t>
      </w:r>
      <w:r w:rsidRPr="00E27A50">
        <w:rPr>
          <w:rFonts w:ascii="Calibri Light" w:eastAsia="Calibri" w:hAnsi="Calibri Light" w:cs="Calibri Light"/>
          <w:sz w:val="21"/>
          <w:szCs w:val="21"/>
        </w:rPr>
        <w:t xml:space="preserve">, </w:t>
      </w:r>
      <w:proofErr w:type="spellStart"/>
      <w:r w:rsidR="00FA74F2" w:rsidRPr="00FA74F2">
        <w:rPr>
          <w:rFonts w:ascii="Calibri Light" w:eastAsia="Calibri" w:hAnsi="Calibri Light" w:cs="Calibri Light"/>
          <w:sz w:val="21"/>
          <w:szCs w:val="21"/>
        </w:rPr>
        <w:t>Proliant</w:t>
      </w:r>
      <w:proofErr w:type="spellEnd"/>
      <w:r w:rsidR="00FA74F2" w:rsidRPr="00FA74F2">
        <w:rPr>
          <w:rFonts w:ascii="Calibri Light" w:eastAsia="Calibri" w:hAnsi="Calibri Light" w:cs="Calibri Light"/>
          <w:sz w:val="21"/>
          <w:szCs w:val="21"/>
        </w:rPr>
        <w:t xml:space="preserve"> Settlement Systems, LLC</w:t>
      </w:r>
      <w:r w:rsidR="00FA74F2">
        <w:rPr>
          <w:rFonts w:ascii="Calibri Light" w:eastAsia="Calibri" w:hAnsi="Calibri Light" w:cs="Calibri Light"/>
          <w:sz w:val="21"/>
          <w:szCs w:val="21"/>
        </w:rPr>
        <w:t xml:space="preserve"> (“</w:t>
      </w:r>
      <w:proofErr w:type="spellStart"/>
      <w:r w:rsidR="00FA74F2">
        <w:rPr>
          <w:rFonts w:ascii="Calibri Light" w:eastAsia="Calibri" w:hAnsi="Calibri Light" w:cs="Calibri Light"/>
          <w:sz w:val="21"/>
          <w:szCs w:val="21"/>
        </w:rPr>
        <w:t>Proliant</w:t>
      </w:r>
      <w:proofErr w:type="spellEnd"/>
      <w:r w:rsidR="00FA74F2">
        <w:rPr>
          <w:rFonts w:ascii="Calibri Light" w:eastAsia="Calibri" w:hAnsi="Calibri Light" w:cs="Calibri Light"/>
          <w:sz w:val="21"/>
          <w:szCs w:val="21"/>
        </w:rPr>
        <w:t>”)</w:t>
      </w:r>
      <w:r w:rsidRPr="00E27A50">
        <w:rPr>
          <w:rFonts w:ascii="Calibri Light" w:eastAsia="Calibri" w:hAnsi="Calibri Light" w:cs="Calibri Light"/>
          <w:sz w:val="21"/>
          <w:szCs w:val="21"/>
        </w:rPr>
        <w:t xml:space="preserve"> </w:t>
      </w:r>
      <w:r w:rsidR="00452E2E">
        <w:rPr>
          <w:rFonts w:ascii="Calibri Light" w:eastAsia="Calibri" w:hAnsi="Calibri Light" w:cs="Calibri Light"/>
          <w:sz w:val="21"/>
          <w:szCs w:val="21"/>
        </w:rPr>
        <w:t xml:space="preserve">learned </w:t>
      </w:r>
      <w:r w:rsidR="004A160A">
        <w:rPr>
          <w:rFonts w:ascii="Calibri Light" w:eastAsia="Calibri" w:hAnsi="Calibri Light" w:cs="Calibri Light"/>
          <w:sz w:val="21"/>
          <w:szCs w:val="21"/>
        </w:rPr>
        <w:t>of</w:t>
      </w:r>
      <w:r w:rsidRPr="00E27A50">
        <w:rPr>
          <w:rFonts w:ascii="Calibri Light" w:eastAsia="Calibri" w:hAnsi="Calibri Light" w:cs="Calibri Light"/>
          <w:sz w:val="21"/>
          <w:szCs w:val="21"/>
        </w:rPr>
        <w:t xml:space="preserve"> unauthorized access to its </w:t>
      </w:r>
      <w:r w:rsidR="004A160A">
        <w:rPr>
          <w:rFonts w:ascii="Calibri Light" w:eastAsia="Calibri" w:hAnsi="Calibri Light" w:cs="Calibri Light"/>
          <w:sz w:val="21"/>
          <w:szCs w:val="21"/>
        </w:rPr>
        <w:t>cloud computing</w:t>
      </w:r>
      <w:r w:rsidRPr="00E27A50">
        <w:rPr>
          <w:rFonts w:ascii="Calibri Light" w:eastAsia="Calibri" w:hAnsi="Calibri Light" w:cs="Calibri Light"/>
          <w:sz w:val="21"/>
          <w:szCs w:val="21"/>
        </w:rPr>
        <w:t xml:space="preserve"> </w:t>
      </w:r>
      <w:r w:rsidR="00DC320E">
        <w:rPr>
          <w:rFonts w:ascii="Calibri Light" w:eastAsia="Calibri" w:hAnsi="Calibri Light" w:cs="Calibri Light"/>
          <w:sz w:val="21"/>
          <w:szCs w:val="21"/>
        </w:rPr>
        <w:t xml:space="preserve">vendor </w:t>
      </w:r>
      <w:r w:rsidRPr="00E27A50">
        <w:rPr>
          <w:rFonts w:ascii="Calibri Light" w:eastAsia="Calibri" w:hAnsi="Calibri Light" w:cs="Calibri Light"/>
          <w:sz w:val="21"/>
          <w:szCs w:val="21"/>
        </w:rPr>
        <w:t xml:space="preserve">that may have </w:t>
      </w:r>
      <w:r w:rsidR="00BA3FAC">
        <w:rPr>
          <w:rFonts w:ascii="Calibri Light" w:eastAsia="Calibri" w:hAnsi="Calibri Light" w:cs="Calibri Light"/>
          <w:sz w:val="21"/>
          <w:szCs w:val="21"/>
        </w:rPr>
        <w:t>involved</w:t>
      </w:r>
      <w:r w:rsidRPr="00E27A50">
        <w:rPr>
          <w:rFonts w:ascii="Calibri Light" w:eastAsia="Calibri" w:hAnsi="Calibri Light" w:cs="Calibri Light"/>
          <w:sz w:val="21"/>
          <w:szCs w:val="21"/>
        </w:rPr>
        <w:t xml:space="preserve"> your personal information.</w:t>
      </w:r>
      <w:r w:rsidR="0092614F">
        <w:rPr>
          <w:rFonts w:ascii="Calibri Light" w:eastAsia="Calibri" w:hAnsi="Calibri Light" w:cs="Calibri Light"/>
          <w:sz w:val="21"/>
          <w:szCs w:val="21"/>
        </w:rPr>
        <w:t xml:space="preserve"> </w:t>
      </w:r>
      <w:proofErr w:type="spellStart"/>
      <w:r w:rsidR="0092614F">
        <w:rPr>
          <w:rFonts w:ascii="Calibri Light" w:eastAsia="Calibri" w:hAnsi="Calibri Light" w:cs="Calibri Light"/>
          <w:sz w:val="21"/>
          <w:szCs w:val="21"/>
        </w:rPr>
        <w:t>Proliant</w:t>
      </w:r>
      <w:proofErr w:type="spellEnd"/>
      <w:r w:rsidR="0092614F">
        <w:rPr>
          <w:rFonts w:ascii="Calibri Light" w:eastAsia="Calibri" w:hAnsi="Calibri Light" w:cs="Calibri Light"/>
          <w:sz w:val="21"/>
          <w:szCs w:val="21"/>
        </w:rPr>
        <w:t xml:space="preserve"> provides </w:t>
      </w:r>
      <w:r w:rsidR="00DC320E">
        <w:rPr>
          <w:rFonts w:ascii="Calibri Light" w:eastAsia="Calibri" w:hAnsi="Calibri Light" w:cs="Calibri Light"/>
          <w:sz w:val="21"/>
          <w:szCs w:val="21"/>
        </w:rPr>
        <w:t>contracted title and settlement</w:t>
      </w:r>
      <w:r w:rsidR="00BA3FAC">
        <w:rPr>
          <w:rFonts w:ascii="Calibri Light" w:eastAsia="Calibri" w:hAnsi="Calibri Light" w:cs="Calibri Light"/>
          <w:sz w:val="21"/>
          <w:szCs w:val="21"/>
        </w:rPr>
        <w:t xml:space="preserve"> </w:t>
      </w:r>
      <w:r w:rsidR="0092614F">
        <w:rPr>
          <w:rFonts w:ascii="Calibri Light" w:eastAsia="Calibri" w:hAnsi="Calibri Light" w:cs="Calibri Light"/>
          <w:sz w:val="21"/>
          <w:szCs w:val="21"/>
        </w:rPr>
        <w:t>services</w:t>
      </w:r>
      <w:r w:rsidR="00DC320E">
        <w:rPr>
          <w:rFonts w:ascii="Calibri Light" w:eastAsia="Calibri" w:hAnsi="Calibri Light" w:cs="Calibri Light"/>
          <w:sz w:val="21"/>
          <w:szCs w:val="21"/>
        </w:rPr>
        <w:t xml:space="preserve"> </w:t>
      </w:r>
      <w:r w:rsidR="0092614F">
        <w:rPr>
          <w:rFonts w:ascii="Calibri Light" w:eastAsia="Calibri" w:hAnsi="Calibri Light" w:cs="Calibri Light"/>
          <w:sz w:val="21"/>
          <w:szCs w:val="21"/>
        </w:rPr>
        <w:t xml:space="preserve">to title agencies that </w:t>
      </w:r>
      <w:r w:rsidR="004A160A">
        <w:rPr>
          <w:rFonts w:ascii="Calibri Light" w:eastAsia="Calibri" w:hAnsi="Calibri Light" w:cs="Calibri Light"/>
          <w:sz w:val="21"/>
          <w:szCs w:val="21"/>
        </w:rPr>
        <w:t>perform</w:t>
      </w:r>
      <w:r w:rsidR="0092614F">
        <w:rPr>
          <w:rFonts w:ascii="Calibri Light" w:eastAsia="Calibri" w:hAnsi="Calibri Light" w:cs="Calibri Light"/>
          <w:sz w:val="21"/>
          <w:szCs w:val="21"/>
        </w:rPr>
        <w:t xml:space="preserve"> real estate closings, </w:t>
      </w:r>
      <w:r w:rsidR="00DC320E">
        <w:rPr>
          <w:rFonts w:ascii="Calibri Light" w:eastAsia="Calibri" w:hAnsi="Calibri Light" w:cs="Calibri Light"/>
          <w:sz w:val="21"/>
          <w:szCs w:val="21"/>
        </w:rPr>
        <w:t>which included a real estate closing with which you may have been associated.</w:t>
      </w:r>
    </w:p>
    <w:p w:rsidR="00C90521" w:rsidRPr="00E27A50" w:rsidRDefault="00C90521" w:rsidP="00C90521">
      <w:pPr>
        <w:spacing w:after="0" w:line="240" w:lineRule="auto"/>
        <w:jc w:val="both"/>
        <w:rPr>
          <w:rFonts w:ascii="Calibri Light" w:eastAsia="Calibri" w:hAnsi="Calibri Light" w:cs="Calibri Light"/>
          <w:sz w:val="21"/>
          <w:szCs w:val="21"/>
        </w:rPr>
      </w:pPr>
    </w:p>
    <w:p w:rsidR="00C90521" w:rsidRPr="00E27A50" w:rsidRDefault="00FA74F2" w:rsidP="00C90521">
      <w:pPr>
        <w:spacing w:after="0" w:line="240" w:lineRule="auto"/>
        <w:jc w:val="both"/>
        <w:rPr>
          <w:rFonts w:ascii="Calibri Light" w:eastAsia="Calibri" w:hAnsi="Calibri Light" w:cs="Calibri Light"/>
          <w:sz w:val="21"/>
          <w:szCs w:val="21"/>
        </w:rPr>
      </w:pPr>
      <w:proofErr w:type="spellStart"/>
      <w:r>
        <w:rPr>
          <w:rFonts w:ascii="Calibri Light" w:eastAsia="Calibri" w:hAnsi="Calibri Light" w:cs="Calibri Light"/>
          <w:sz w:val="21"/>
          <w:szCs w:val="21"/>
        </w:rPr>
        <w:t>Proliant</w:t>
      </w:r>
      <w:proofErr w:type="spellEnd"/>
      <w:r w:rsidR="00C90521" w:rsidRPr="00E27A50">
        <w:rPr>
          <w:rFonts w:ascii="Calibri Light" w:eastAsia="Calibri" w:hAnsi="Calibri Light" w:cs="Calibri Light"/>
          <w:sz w:val="21"/>
          <w:szCs w:val="21"/>
        </w:rPr>
        <w:t xml:space="preserve"> takes the security of personal information seriously and </w:t>
      </w:r>
      <w:r w:rsidR="00BA3FAC">
        <w:rPr>
          <w:rFonts w:ascii="Calibri Light" w:eastAsia="Calibri" w:hAnsi="Calibri Light" w:cs="Calibri Light"/>
          <w:sz w:val="21"/>
          <w:szCs w:val="21"/>
        </w:rPr>
        <w:t>promptly investigate</w:t>
      </w:r>
      <w:r w:rsidR="004A160A">
        <w:rPr>
          <w:rFonts w:ascii="Calibri Light" w:eastAsia="Calibri" w:hAnsi="Calibri Light" w:cs="Calibri Light"/>
          <w:sz w:val="21"/>
          <w:szCs w:val="21"/>
        </w:rPr>
        <w:t>d</w:t>
      </w:r>
      <w:r w:rsidR="00BA3FAC">
        <w:rPr>
          <w:rFonts w:ascii="Calibri Light" w:eastAsia="Calibri" w:hAnsi="Calibri Light" w:cs="Calibri Light"/>
          <w:sz w:val="21"/>
          <w:szCs w:val="21"/>
        </w:rPr>
        <w:t xml:space="preserve"> the</w:t>
      </w:r>
      <w:r w:rsidR="004A160A">
        <w:rPr>
          <w:rFonts w:ascii="Calibri Light" w:eastAsia="Calibri" w:hAnsi="Calibri Light" w:cs="Calibri Light"/>
          <w:sz w:val="21"/>
          <w:szCs w:val="21"/>
        </w:rPr>
        <w:t xml:space="preserve"> </w:t>
      </w:r>
      <w:r w:rsidR="00D359EF">
        <w:rPr>
          <w:rFonts w:ascii="Calibri Light" w:eastAsia="Calibri" w:hAnsi="Calibri Light" w:cs="Calibri Light"/>
          <w:sz w:val="21"/>
          <w:szCs w:val="21"/>
        </w:rPr>
        <w:t xml:space="preserve">security </w:t>
      </w:r>
      <w:r w:rsidR="00BA3FAC">
        <w:rPr>
          <w:rFonts w:ascii="Calibri Light" w:eastAsia="Calibri" w:hAnsi="Calibri Light" w:cs="Calibri Light"/>
          <w:sz w:val="21"/>
          <w:szCs w:val="21"/>
        </w:rPr>
        <w:t>incident</w:t>
      </w:r>
      <w:r w:rsidR="00C90521" w:rsidRPr="00E27A50">
        <w:rPr>
          <w:rFonts w:ascii="Calibri Light" w:eastAsia="Calibri" w:hAnsi="Calibri Light" w:cs="Calibri Light"/>
          <w:sz w:val="21"/>
          <w:szCs w:val="21"/>
        </w:rPr>
        <w:t>.</w:t>
      </w:r>
      <w:r w:rsidR="004A160A">
        <w:rPr>
          <w:rFonts w:ascii="Calibri Light" w:eastAsia="Calibri" w:hAnsi="Calibri Light" w:cs="Calibri Light"/>
          <w:sz w:val="21"/>
          <w:szCs w:val="21"/>
        </w:rPr>
        <w:t xml:space="preserve"> The investigation </w:t>
      </w:r>
      <w:r w:rsidR="00C90521" w:rsidRPr="00E27A50">
        <w:rPr>
          <w:rFonts w:ascii="Calibri Light" w:eastAsia="Calibri" w:hAnsi="Calibri Light" w:cs="Calibri Light"/>
          <w:sz w:val="21"/>
          <w:szCs w:val="21"/>
        </w:rPr>
        <w:t>could not rule out that your personal information, including</w:t>
      </w:r>
      <w:r w:rsidR="00B1360D">
        <w:rPr>
          <w:rFonts w:ascii="Calibri Light" w:eastAsia="Calibri" w:hAnsi="Calibri Light" w:cs="Calibri Light"/>
          <w:sz w:val="21"/>
          <w:szCs w:val="21"/>
        </w:rPr>
        <w:t xml:space="preserve"> driver’s license number,</w:t>
      </w:r>
      <w:r w:rsidR="00C90521" w:rsidRPr="00E27A50">
        <w:rPr>
          <w:rFonts w:ascii="Calibri Light" w:eastAsia="Calibri" w:hAnsi="Calibri Light" w:cs="Calibri Light"/>
          <w:sz w:val="21"/>
          <w:szCs w:val="21"/>
        </w:rPr>
        <w:t xml:space="preserve"> social security number</w:t>
      </w:r>
      <w:r w:rsidR="00E95ABA">
        <w:rPr>
          <w:rFonts w:ascii="Calibri Light" w:eastAsia="Calibri" w:hAnsi="Calibri Light" w:cs="Calibri Light"/>
          <w:sz w:val="21"/>
          <w:szCs w:val="21"/>
        </w:rPr>
        <w:t>,</w:t>
      </w:r>
      <w:r w:rsidR="00C90521" w:rsidRPr="00E27A50">
        <w:rPr>
          <w:rFonts w:ascii="Calibri Light" w:eastAsia="Calibri" w:hAnsi="Calibri Light" w:cs="Calibri Light"/>
          <w:sz w:val="21"/>
          <w:szCs w:val="21"/>
        </w:rPr>
        <w:t xml:space="preserve"> </w:t>
      </w:r>
      <w:r w:rsidR="00B1360D">
        <w:rPr>
          <w:rFonts w:ascii="Calibri Light" w:eastAsia="Calibri" w:hAnsi="Calibri Light" w:cs="Calibri Light"/>
          <w:sz w:val="21"/>
          <w:szCs w:val="21"/>
        </w:rPr>
        <w:t xml:space="preserve">passport number, </w:t>
      </w:r>
      <w:r w:rsidR="00BA3FAC">
        <w:rPr>
          <w:rFonts w:ascii="Calibri Light" w:eastAsia="Calibri" w:hAnsi="Calibri Light" w:cs="Calibri Light"/>
          <w:sz w:val="21"/>
          <w:szCs w:val="21"/>
        </w:rPr>
        <w:t>or</w:t>
      </w:r>
      <w:r w:rsidR="00B1360D">
        <w:rPr>
          <w:rFonts w:ascii="Calibri Light" w:eastAsia="Calibri" w:hAnsi="Calibri Light" w:cs="Calibri Light"/>
          <w:sz w:val="21"/>
          <w:szCs w:val="21"/>
        </w:rPr>
        <w:t xml:space="preserve"> </w:t>
      </w:r>
      <w:r w:rsidR="00BA3FAC">
        <w:rPr>
          <w:rFonts w:ascii="Calibri Light" w:eastAsia="Calibri" w:hAnsi="Calibri Light" w:cs="Calibri Light"/>
          <w:sz w:val="21"/>
          <w:szCs w:val="21"/>
        </w:rPr>
        <w:t>financial information</w:t>
      </w:r>
      <w:r w:rsidR="00B1360D">
        <w:rPr>
          <w:rFonts w:ascii="Calibri Light" w:eastAsia="Calibri" w:hAnsi="Calibri Light" w:cs="Calibri Light"/>
          <w:sz w:val="21"/>
          <w:szCs w:val="21"/>
        </w:rPr>
        <w:t xml:space="preserve">, </w:t>
      </w:r>
      <w:r w:rsidR="00C90521" w:rsidRPr="00E27A50">
        <w:rPr>
          <w:rFonts w:ascii="Calibri Light" w:eastAsia="Calibri" w:hAnsi="Calibri Light" w:cs="Calibri Light"/>
          <w:sz w:val="21"/>
          <w:szCs w:val="21"/>
        </w:rPr>
        <w:t>had not been accessed as a result</w:t>
      </w:r>
      <w:r w:rsidR="00C90521">
        <w:rPr>
          <w:rFonts w:ascii="Calibri Light" w:eastAsia="Calibri" w:hAnsi="Calibri Light" w:cs="Calibri Light"/>
          <w:sz w:val="21"/>
          <w:szCs w:val="21"/>
        </w:rPr>
        <w:t xml:space="preserve"> of</w:t>
      </w:r>
      <w:r w:rsidR="00C90521" w:rsidRPr="00E27A50">
        <w:rPr>
          <w:rFonts w:ascii="Calibri Light" w:eastAsia="Calibri" w:hAnsi="Calibri Light" w:cs="Calibri Light"/>
          <w:sz w:val="21"/>
          <w:szCs w:val="21"/>
        </w:rPr>
        <w:t xml:space="preserve"> the </w:t>
      </w:r>
      <w:r w:rsidR="00D359EF">
        <w:rPr>
          <w:rFonts w:ascii="Calibri Light" w:eastAsia="Calibri" w:hAnsi="Calibri Light" w:cs="Calibri Light"/>
          <w:sz w:val="21"/>
          <w:szCs w:val="21"/>
        </w:rPr>
        <w:t xml:space="preserve">security </w:t>
      </w:r>
      <w:r w:rsidR="00C90521" w:rsidRPr="00E27A50">
        <w:rPr>
          <w:rFonts w:ascii="Calibri Light" w:eastAsia="Calibri" w:hAnsi="Calibri Light" w:cs="Calibri Light"/>
          <w:sz w:val="21"/>
          <w:szCs w:val="21"/>
        </w:rPr>
        <w:t xml:space="preserve">breach. </w:t>
      </w:r>
    </w:p>
    <w:p w:rsidR="00C90521" w:rsidRPr="00E27A50" w:rsidRDefault="00C90521" w:rsidP="00C90521">
      <w:pPr>
        <w:spacing w:after="0" w:line="240" w:lineRule="auto"/>
        <w:rPr>
          <w:rFonts w:ascii="Calibri Light" w:eastAsia="Calibri" w:hAnsi="Calibri Light" w:cs="Calibri Light"/>
          <w:sz w:val="21"/>
          <w:szCs w:val="21"/>
        </w:rPr>
      </w:pPr>
    </w:p>
    <w:p w:rsidR="00C90521" w:rsidRPr="00E27A50" w:rsidRDefault="00C90521" w:rsidP="00C90521">
      <w:pPr>
        <w:spacing w:after="0" w:line="240" w:lineRule="auto"/>
        <w:jc w:val="both"/>
        <w:rPr>
          <w:rFonts w:ascii="Calibri Light" w:eastAsia="Calibri" w:hAnsi="Calibri Light" w:cs="Calibri Light"/>
          <w:sz w:val="21"/>
          <w:szCs w:val="21"/>
        </w:rPr>
      </w:pPr>
      <w:r w:rsidRPr="00E27A50">
        <w:rPr>
          <w:rFonts w:ascii="Calibri Light" w:eastAsia="Calibri" w:hAnsi="Calibri Light" w:cs="Calibri Light"/>
          <w:sz w:val="21"/>
          <w:szCs w:val="21"/>
        </w:rPr>
        <w:t xml:space="preserve">We are confident that the actions we have taken, including </w:t>
      </w:r>
      <w:r w:rsidR="00D359EF">
        <w:rPr>
          <w:rFonts w:ascii="Calibri Light" w:eastAsia="Calibri" w:hAnsi="Calibri Light" w:cs="Calibri Light"/>
          <w:sz w:val="21"/>
          <w:szCs w:val="21"/>
        </w:rPr>
        <w:t>implementing added</w:t>
      </w:r>
      <w:r w:rsidR="00BA3FAC">
        <w:rPr>
          <w:rFonts w:ascii="Calibri Light" w:eastAsia="Calibri" w:hAnsi="Calibri Light" w:cs="Calibri Light"/>
          <w:sz w:val="21"/>
          <w:szCs w:val="21"/>
        </w:rPr>
        <w:t xml:space="preserve"> security</w:t>
      </w:r>
      <w:r w:rsidR="00D359EF">
        <w:rPr>
          <w:rFonts w:ascii="Calibri Light" w:eastAsia="Calibri" w:hAnsi="Calibri Light" w:cs="Calibri Light"/>
          <w:sz w:val="21"/>
          <w:szCs w:val="21"/>
        </w:rPr>
        <w:t xml:space="preserve"> measures</w:t>
      </w:r>
      <w:r w:rsidR="00BA3FAC">
        <w:rPr>
          <w:rFonts w:ascii="Calibri Light" w:eastAsia="Calibri" w:hAnsi="Calibri Light" w:cs="Calibri Light"/>
          <w:sz w:val="21"/>
          <w:szCs w:val="21"/>
        </w:rPr>
        <w:t xml:space="preserve"> to our cloud computing systems</w:t>
      </w:r>
      <w:r w:rsidR="00AE7CB7">
        <w:rPr>
          <w:rFonts w:ascii="Calibri Light" w:eastAsia="Calibri" w:hAnsi="Calibri Light" w:cs="Calibri Light"/>
          <w:sz w:val="21"/>
          <w:szCs w:val="21"/>
        </w:rPr>
        <w:t>,</w:t>
      </w:r>
      <w:r w:rsidR="00BA3FAC">
        <w:rPr>
          <w:rFonts w:ascii="Calibri Light" w:eastAsia="Calibri" w:hAnsi="Calibri Light" w:cs="Calibri Light"/>
          <w:sz w:val="21"/>
          <w:szCs w:val="21"/>
        </w:rPr>
        <w:t xml:space="preserve"> </w:t>
      </w:r>
      <w:r w:rsidRPr="00E27A50">
        <w:rPr>
          <w:rFonts w:ascii="Calibri Light" w:eastAsia="Calibri" w:hAnsi="Calibri Light" w:cs="Calibri Light"/>
          <w:sz w:val="21"/>
          <w:szCs w:val="21"/>
        </w:rPr>
        <w:t xml:space="preserve">will help protect against similar incidents in the future. However, if any new information about your personal information becomes available to us, we will notify you as </w:t>
      </w:r>
      <w:r w:rsidR="00BA3FAC">
        <w:rPr>
          <w:rFonts w:ascii="Calibri Light" w:eastAsia="Calibri" w:hAnsi="Calibri Light" w:cs="Calibri Light"/>
          <w:sz w:val="21"/>
          <w:szCs w:val="21"/>
        </w:rPr>
        <w:t>soon</w:t>
      </w:r>
      <w:r w:rsidRPr="00E27A50">
        <w:rPr>
          <w:rFonts w:ascii="Calibri Light" w:eastAsia="Calibri" w:hAnsi="Calibri Light" w:cs="Calibri Light"/>
          <w:sz w:val="21"/>
          <w:szCs w:val="21"/>
        </w:rPr>
        <w:t xml:space="preserve"> as possible. </w:t>
      </w:r>
    </w:p>
    <w:p w:rsidR="00C90521" w:rsidRPr="00E27A50" w:rsidRDefault="00C90521" w:rsidP="00C90521">
      <w:pPr>
        <w:spacing w:after="0" w:line="240" w:lineRule="auto"/>
        <w:jc w:val="both"/>
        <w:rPr>
          <w:rFonts w:ascii="Calibri Light" w:eastAsia="Calibri" w:hAnsi="Calibri Light" w:cs="Calibri Light"/>
          <w:sz w:val="21"/>
          <w:szCs w:val="21"/>
        </w:rPr>
      </w:pPr>
      <w:bookmarkStart w:id="0" w:name="_GoBack"/>
      <w:bookmarkEnd w:id="0"/>
    </w:p>
    <w:p w:rsidR="00C90521" w:rsidRPr="00E27A50" w:rsidRDefault="00C90521" w:rsidP="00C90521">
      <w:pPr>
        <w:spacing w:after="0" w:line="240" w:lineRule="auto"/>
        <w:jc w:val="both"/>
        <w:rPr>
          <w:rFonts w:ascii="Calibri Light" w:eastAsia="Calibri" w:hAnsi="Calibri Light" w:cs="Calibri Light"/>
          <w:sz w:val="21"/>
          <w:szCs w:val="21"/>
        </w:rPr>
      </w:pPr>
      <w:r w:rsidRPr="00E27A50">
        <w:rPr>
          <w:rFonts w:ascii="Calibri Light" w:eastAsia="Calibri" w:hAnsi="Calibri Light" w:cs="Calibri Light"/>
          <w:sz w:val="21"/>
          <w:szCs w:val="21"/>
        </w:rPr>
        <w:t>As a precautionary measure, we recommend that you remain vigilant by reviewing your account statements and credit reports closely. Please see the attached document on steps you can take to protect your information.</w:t>
      </w:r>
    </w:p>
    <w:p w:rsidR="00C90521" w:rsidRPr="00E27A50" w:rsidRDefault="00C90521" w:rsidP="00C90521">
      <w:pPr>
        <w:spacing w:after="0" w:line="240" w:lineRule="auto"/>
        <w:jc w:val="both"/>
        <w:rPr>
          <w:rFonts w:ascii="Calibri Light" w:eastAsia="Calibri" w:hAnsi="Calibri Light" w:cs="Calibri Light"/>
          <w:sz w:val="21"/>
          <w:szCs w:val="21"/>
        </w:rPr>
      </w:pPr>
    </w:p>
    <w:p w:rsidR="00C90521" w:rsidRPr="00E27A50" w:rsidRDefault="00FA74F2" w:rsidP="00C90521">
      <w:pPr>
        <w:spacing w:after="0" w:line="240" w:lineRule="auto"/>
        <w:jc w:val="both"/>
        <w:rPr>
          <w:rFonts w:ascii="Calibri Light" w:eastAsia="Calibri" w:hAnsi="Calibri Light" w:cs="Calibri Light"/>
          <w:sz w:val="21"/>
          <w:szCs w:val="21"/>
        </w:rPr>
      </w:pPr>
      <w:proofErr w:type="spellStart"/>
      <w:r>
        <w:rPr>
          <w:rFonts w:ascii="Calibri Light" w:eastAsia="Calibri" w:hAnsi="Calibri Light" w:cs="Calibri Light"/>
          <w:sz w:val="21"/>
          <w:szCs w:val="21"/>
        </w:rPr>
        <w:t>Proliant</w:t>
      </w:r>
      <w:proofErr w:type="spellEnd"/>
      <w:r w:rsidR="00C90521" w:rsidRPr="00E27A50">
        <w:rPr>
          <w:rFonts w:ascii="Calibri Light" w:eastAsia="Calibri" w:hAnsi="Calibri Light" w:cs="Calibri Light"/>
          <w:sz w:val="21"/>
          <w:szCs w:val="21"/>
        </w:rPr>
        <w:t xml:space="preserve"> </w:t>
      </w:r>
      <w:r w:rsidR="00D359EF">
        <w:rPr>
          <w:rFonts w:ascii="Calibri Light" w:eastAsia="Calibri" w:hAnsi="Calibri Light" w:cs="Calibri Light"/>
          <w:sz w:val="21"/>
          <w:szCs w:val="21"/>
        </w:rPr>
        <w:t>is providing</w:t>
      </w:r>
      <w:r w:rsidR="00C90521" w:rsidRPr="00E27A50">
        <w:rPr>
          <w:rFonts w:ascii="Calibri Light" w:eastAsia="Calibri" w:hAnsi="Calibri Light" w:cs="Calibri Light"/>
          <w:sz w:val="21"/>
          <w:szCs w:val="21"/>
        </w:rPr>
        <w:t xml:space="preserve"> you with </w:t>
      </w:r>
      <w:r w:rsidR="004A160A">
        <w:rPr>
          <w:rFonts w:ascii="Calibri Light" w:eastAsia="Calibri" w:hAnsi="Calibri Light" w:cs="Calibri Light"/>
          <w:sz w:val="21"/>
          <w:szCs w:val="21"/>
        </w:rPr>
        <w:t xml:space="preserve">free </w:t>
      </w:r>
      <w:r w:rsidR="00C90521" w:rsidRPr="00E27A50">
        <w:rPr>
          <w:rFonts w:ascii="Calibri Light" w:eastAsia="Calibri" w:hAnsi="Calibri Light" w:cs="Calibri Light"/>
          <w:sz w:val="21"/>
          <w:szCs w:val="21"/>
        </w:rPr>
        <w:t xml:space="preserve">credit monitoring services from </w:t>
      </w:r>
      <w:r w:rsidR="00125226" w:rsidRPr="004A160A">
        <w:rPr>
          <w:rFonts w:ascii="Calibri Light" w:eastAsia="Calibri" w:hAnsi="Calibri Light" w:cs="Calibri Light"/>
          <w:sz w:val="21"/>
          <w:szCs w:val="21"/>
        </w:rPr>
        <w:t>Equifax</w:t>
      </w:r>
      <w:r w:rsidR="004A160A">
        <w:rPr>
          <w:rFonts w:ascii="Calibri Light" w:eastAsia="Calibri" w:hAnsi="Calibri Light" w:cs="Calibri Light"/>
          <w:sz w:val="21"/>
          <w:szCs w:val="21"/>
        </w:rPr>
        <w:t xml:space="preserve"> to help protect your information</w:t>
      </w:r>
      <w:r w:rsidR="00C90521" w:rsidRPr="00E27A50">
        <w:rPr>
          <w:rFonts w:ascii="Calibri Light" w:eastAsia="Calibri" w:hAnsi="Calibri Light" w:cs="Calibri Light"/>
          <w:sz w:val="21"/>
          <w:szCs w:val="21"/>
        </w:rPr>
        <w:t xml:space="preserve">. To enroll, please follow the </w:t>
      </w:r>
      <w:r w:rsidR="004A160A">
        <w:rPr>
          <w:rFonts w:ascii="Calibri Light" w:eastAsia="Calibri" w:hAnsi="Calibri Light" w:cs="Calibri Light"/>
          <w:sz w:val="21"/>
          <w:szCs w:val="21"/>
        </w:rPr>
        <w:t>enclosed</w:t>
      </w:r>
      <w:r w:rsidR="00D359EF">
        <w:rPr>
          <w:rFonts w:ascii="Calibri Light" w:eastAsia="Calibri" w:hAnsi="Calibri Light" w:cs="Calibri Light"/>
          <w:sz w:val="21"/>
          <w:szCs w:val="21"/>
        </w:rPr>
        <w:t xml:space="preserve"> Equifax</w:t>
      </w:r>
      <w:r w:rsidR="004A160A">
        <w:rPr>
          <w:rFonts w:ascii="Calibri Light" w:eastAsia="Calibri" w:hAnsi="Calibri Light" w:cs="Calibri Light"/>
          <w:sz w:val="21"/>
          <w:szCs w:val="21"/>
        </w:rPr>
        <w:t xml:space="preserve"> enrollment </w:t>
      </w:r>
      <w:r w:rsidR="00C90521" w:rsidRPr="00E27A50">
        <w:rPr>
          <w:rFonts w:ascii="Calibri Light" w:eastAsia="Calibri" w:hAnsi="Calibri Light" w:cs="Calibri Light"/>
          <w:sz w:val="21"/>
          <w:szCs w:val="21"/>
        </w:rPr>
        <w:t>instructions.</w:t>
      </w:r>
      <w:r w:rsidR="0008365D">
        <w:rPr>
          <w:rFonts w:ascii="Calibri Light" w:eastAsia="Calibri" w:hAnsi="Calibri Light" w:cs="Calibri Light"/>
          <w:sz w:val="21"/>
          <w:szCs w:val="21"/>
        </w:rPr>
        <w:t xml:space="preserve"> </w:t>
      </w:r>
      <w:r w:rsidR="00C90521" w:rsidRPr="00E27A50">
        <w:rPr>
          <w:rFonts w:ascii="Calibri Light" w:eastAsia="Calibri" w:hAnsi="Calibri Light" w:cs="Calibri Light"/>
          <w:sz w:val="21"/>
          <w:szCs w:val="21"/>
        </w:rPr>
        <w:t xml:space="preserve">You must enroll no later than </w:t>
      </w:r>
      <w:r w:rsidRPr="00E27A50">
        <w:rPr>
          <w:rFonts w:ascii="Calibri Light" w:eastAsia="Calibri" w:hAnsi="Calibri Light" w:cs="Calibri Light"/>
          <w:sz w:val="21"/>
          <w:szCs w:val="21"/>
          <w:highlight w:val="yellow"/>
        </w:rPr>
        <w:t>______</w:t>
      </w:r>
      <w:r w:rsidRPr="00E27A50">
        <w:rPr>
          <w:rFonts w:ascii="Calibri Light" w:eastAsia="Calibri" w:hAnsi="Calibri Light" w:cs="Calibri Light"/>
          <w:sz w:val="21"/>
          <w:szCs w:val="21"/>
        </w:rPr>
        <w:t>.</w:t>
      </w:r>
    </w:p>
    <w:p w:rsidR="00C90521" w:rsidRPr="00E27A50" w:rsidRDefault="00C90521" w:rsidP="00C90521">
      <w:pPr>
        <w:spacing w:after="0" w:line="240" w:lineRule="auto"/>
        <w:jc w:val="both"/>
        <w:rPr>
          <w:rFonts w:ascii="Calibri Light" w:eastAsia="Calibri" w:hAnsi="Calibri Light" w:cs="Calibri Light"/>
          <w:sz w:val="21"/>
          <w:szCs w:val="21"/>
        </w:rPr>
      </w:pPr>
    </w:p>
    <w:p w:rsidR="00C90521" w:rsidRPr="00E27A50" w:rsidRDefault="00C90521" w:rsidP="00C90521">
      <w:pPr>
        <w:spacing w:after="0" w:line="240" w:lineRule="auto"/>
        <w:jc w:val="both"/>
        <w:rPr>
          <w:rFonts w:ascii="Calibri Light" w:eastAsia="Calibri" w:hAnsi="Calibri Light" w:cs="Calibri Light"/>
          <w:sz w:val="21"/>
          <w:szCs w:val="21"/>
        </w:rPr>
      </w:pPr>
      <w:r w:rsidRPr="00E27A50">
        <w:rPr>
          <w:rFonts w:ascii="Calibri Light" w:eastAsia="Calibri" w:hAnsi="Calibri Light" w:cs="Calibri Light"/>
          <w:sz w:val="21"/>
          <w:szCs w:val="21"/>
        </w:rPr>
        <w:t xml:space="preserve">For further information or assistance, you may call our toll-free hotline at </w:t>
      </w:r>
      <w:r w:rsidRPr="00E27A50">
        <w:rPr>
          <w:rFonts w:ascii="Calibri Light" w:eastAsia="Calibri" w:hAnsi="Calibri Light" w:cs="Calibri Light"/>
          <w:sz w:val="21"/>
          <w:szCs w:val="21"/>
          <w:highlight w:val="yellow"/>
        </w:rPr>
        <w:t>______</w:t>
      </w:r>
      <w:r w:rsidRPr="00E27A50">
        <w:rPr>
          <w:rFonts w:ascii="Calibri Light" w:eastAsia="Calibri" w:hAnsi="Calibri Light" w:cs="Calibri Light"/>
          <w:sz w:val="21"/>
          <w:szCs w:val="21"/>
        </w:rPr>
        <w:t xml:space="preserve">. </w:t>
      </w:r>
    </w:p>
    <w:p w:rsidR="00C90521" w:rsidRPr="00E27A50" w:rsidRDefault="00C90521" w:rsidP="00C90521">
      <w:pPr>
        <w:spacing w:after="0" w:line="240" w:lineRule="auto"/>
        <w:jc w:val="both"/>
        <w:rPr>
          <w:rFonts w:ascii="Calibri Light" w:eastAsia="Calibri" w:hAnsi="Calibri Light" w:cs="Calibri Light"/>
          <w:sz w:val="21"/>
          <w:szCs w:val="21"/>
        </w:rPr>
      </w:pPr>
    </w:p>
    <w:p w:rsidR="00C90521" w:rsidRPr="00E27A50" w:rsidRDefault="00C90521" w:rsidP="00C90521">
      <w:pPr>
        <w:spacing w:after="0" w:line="240" w:lineRule="auto"/>
        <w:jc w:val="both"/>
        <w:rPr>
          <w:rFonts w:ascii="Calibri Light" w:eastAsia="Calibri" w:hAnsi="Calibri Light" w:cs="Calibri Light"/>
          <w:sz w:val="21"/>
          <w:szCs w:val="21"/>
        </w:rPr>
      </w:pPr>
      <w:r w:rsidRPr="00E27A50">
        <w:rPr>
          <w:rFonts w:ascii="Calibri Light" w:eastAsia="Calibri" w:hAnsi="Calibri Light" w:cs="Calibri Light"/>
          <w:sz w:val="21"/>
          <w:szCs w:val="21"/>
        </w:rPr>
        <w:t>Sincerely,</w:t>
      </w:r>
    </w:p>
    <w:p w:rsidR="00125226" w:rsidRDefault="00125226" w:rsidP="00C90521">
      <w:pPr>
        <w:spacing w:after="0" w:line="240" w:lineRule="auto"/>
        <w:jc w:val="both"/>
        <w:rPr>
          <w:rFonts w:ascii="Calibri Light" w:eastAsia="Calibri" w:hAnsi="Calibri Light" w:cs="Calibri Light"/>
          <w:sz w:val="21"/>
          <w:szCs w:val="21"/>
        </w:rPr>
      </w:pPr>
    </w:p>
    <w:p w:rsidR="00C90521" w:rsidRPr="00C90521" w:rsidRDefault="00C90521" w:rsidP="00C90521">
      <w:pPr>
        <w:spacing w:after="0" w:line="240" w:lineRule="auto"/>
        <w:jc w:val="both"/>
        <w:rPr>
          <w:rFonts w:ascii="Calibri Light" w:eastAsia="Calibri" w:hAnsi="Calibri Light" w:cs="Calibri Light"/>
          <w:sz w:val="21"/>
          <w:szCs w:val="21"/>
        </w:rPr>
      </w:pPr>
      <w:proofErr w:type="spellStart"/>
      <w:r w:rsidRPr="00C90521">
        <w:rPr>
          <w:rFonts w:ascii="Calibri Light" w:eastAsia="Calibri" w:hAnsi="Calibri Light" w:cs="Calibri Light"/>
          <w:sz w:val="21"/>
          <w:szCs w:val="21"/>
        </w:rPr>
        <w:t>Proliant</w:t>
      </w:r>
      <w:proofErr w:type="spellEnd"/>
      <w:r w:rsidRPr="00C90521">
        <w:rPr>
          <w:rFonts w:ascii="Calibri Light" w:eastAsia="Calibri" w:hAnsi="Calibri Light" w:cs="Calibri Light"/>
          <w:sz w:val="21"/>
          <w:szCs w:val="21"/>
        </w:rPr>
        <w:t xml:space="preserve"> Settlement Systems, LLC</w:t>
      </w:r>
    </w:p>
    <w:p w:rsidR="00C90521" w:rsidRPr="00C90521" w:rsidRDefault="00C90521" w:rsidP="00C90521">
      <w:pPr>
        <w:spacing w:after="0" w:line="240" w:lineRule="auto"/>
        <w:jc w:val="both"/>
        <w:rPr>
          <w:rFonts w:ascii="Calibri Light" w:eastAsia="Calibri" w:hAnsi="Calibri Light" w:cs="Calibri Light"/>
          <w:sz w:val="21"/>
          <w:szCs w:val="21"/>
        </w:rPr>
      </w:pPr>
      <w:r w:rsidRPr="00C90521">
        <w:rPr>
          <w:rFonts w:ascii="Calibri Light" w:eastAsia="Calibri" w:hAnsi="Calibri Light" w:cs="Calibri Light"/>
          <w:sz w:val="21"/>
          <w:szCs w:val="21"/>
        </w:rPr>
        <w:t>2100 Coe Court</w:t>
      </w:r>
    </w:p>
    <w:p w:rsidR="00757E62" w:rsidRDefault="00C90521" w:rsidP="00C90521">
      <w:pPr>
        <w:spacing w:after="0" w:line="240" w:lineRule="auto"/>
        <w:jc w:val="both"/>
        <w:rPr>
          <w:rFonts w:ascii="Calibri Light" w:eastAsia="Calibri" w:hAnsi="Calibri Light" w:cs="Calibri Light"/>
          <w:sz w:val="21"/>
          <w:szCs w:val="21"/>
        </w:rPr>
      </w:pPr>
      <w:r w:rsidRPr="00C90521">
        <w:rPr>
          <w:rFonts w:ascii="Calibri Light" w:eastAsia="Calibri" w:hAnsi="Calibri Light" w:cs="Calibri Light"/>
          <w:sz w:val="21"/>
          <w:szCs w:val="21"/>
        </w:rPr>
        <w:t>Auburn Hills, MI 48326</w:t>
      </w:r>
    </w:p>
    <w:p w:rsidR="00577DCC" w:rsidRPr="00E27A50" w:rsidRDefault="00577DCC" w:rsidP="00577DCC">
      <w:pPr>
        <w:spacing w:after="0" w:line="240" w:lineRule="auto"/>
        <w:rPr>
          <w:rFonts w:ascii="Calibri Light" w:eastAsia="Calibri" w:hAnsi="Calibri Light" w:cs="Calibri Light"/>
          <w:sz w:val="21"/>
          <w:szCs w:val="21"/>
        </w:rPr>
      </w:pPr>
    </w:p>
    <w:p w:rsidR="00577DCC" w:rsidRDefault="00577DCC"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AB1824" w:rsidRDefault="00AB1824" w:rsidP="00C90521">
      <w:pPr>
        <w:spacing w:after="0" w:line="240" w:lineRule="auto"/>
        <w:jc w:val="both"/>
      </w:pPr>
    </w:p>
    <w:p w:rsidR="00B0541B" w:rsidRDefault="00B0541B" w:rsidP="00C90521">
      <w:pPr>
        <w:spacing w:after="0" w:line="240" w:lineRule="auto"/>
        <w:jc w:val="both"/>
      </w:pPr>
    </w:p>
    <w:p w:rsidR="00B0541B" w:rsidRDefault="00B0541B" w:rsidP="00C90521">
      <w:pPr>
        <w:spacing w:after="0" w:line="240" w:lineRule="auto"/>
        <w:jc w:val="both"/>
      </w:pPr>
    </w:p>
    <w:p w:rsidR="00B0541B" w:rsidRDefault="00B0541B" w:rsidP="00C90521">
      <w:pPr>
        <w:spacing w:after="0" w:line="240" w:lineRule="auto"/>
        <w:jc w:val="both"/>
      </w:pPr>
    </w:p>
    <w:p w:rsidR="00D359EF" w:rsidRDefault="00D359EF">
      <w:pPr>
        <w:rPr>
          <w:rFonts w:asciiTheme="majorHAnsi" w:hAnsiTheme="majorHAnsi" w:cstheme="majorHAnsi"/>
          <w:sz w:val="21"/>
          <w:szCs w:val="21"/>
        </w:rPr>
      </w:pPr>
      <w:r>
        <w:rPr>
          <w:rFonts w:asciiTheme="majorHAnsi" w:hAnsiTheme="majorHAnsi" w:cstheme="majorHAnsi"/>
          <w:sz w:val="21"/>
          <w:szCs w:val="21"/>
        </w:rPr>
        <w:br w:type="page"/>
      </w:r>
    </w:p>
    <w:p w:rsidR="00AB1824" w:rsidRPr="001009F8" w:rsidRDefault="00AB1824" w:rsidP="00AB1824">
      <w:pPr>
        <w:pStyle w:val="NoSpacing"/>
        <w:jc w:val="center"/>
        <w:rPr>
          <w:rFonts w:asciiTheme="majorHAnsi" w:hAnsiTheme="majorHAnsi" w:cstheme="majorHAnsi"/>
          <w:sz w:val="21"/>
          <w:szCs w:val="21"/>
        </w:rPr>
      </w:pPr>
      <w:r w:rsidRPr="001009F8">
        <w:rPr>
          <w:rFonts w:asciiTheme="majorHAnsi" w:hAnsiTheme="majorHAnsi" w:cstheme="majorHAnsi"/>
          <w:sz w:val="21"/>
          <w:szCs w:val="21"/>
        </w:rPr>
        <w:lastRenderedPageBreak/>
        <w:t>STEPS YOU CAN TAKE TO PROTECT YOUR INFORMATION</w:t>
      </w:r>
    </w:p>
    <w:p w:rsidR="00AB1824" w:rsidRPr="001009F8" w:rsidRDefault="00AB1824" w:rsidP="00AB1824">
      <w:pPr>
        <w:pStyle w:val="NoSpacing"/>
        <w:jc w:val="center"/>
        <w:rPr>
          <w:rFonts w:asciiTheme="majorHAnsi" w:hAnsiTheme="majorHAnsi" w:cstheme="majorHAnsi"/>
          <w:sz w:val="21"/>
          <w:szCs w:val="21"/>
        </w:rPr>
      </w:pPr>
    </w:p>
    <w:p w:rsidR="00AB1824" w:rsidRPr="001009F8" w:rsidRDefault="00AB1824" w:rsidP="00AB1824">
      <w:pPr>
        <w:pStyle w:val="NoSpacing"/>
        <w:rPr>
          <w:rFonts w:asciiTheme="majorHAnsi" w:hAnsiTheme="majorHAnsi" w:cstheme="majorHAnsi"/>
          <w:b/>
          <w:bCs/>
          <w:sz w:val="21"/>
          <w:szCs w:val="21"/>
        </w:rPr>
      </w:pPr>
      <w:r w:rsidRPr="001009F8">
        <w:rPr>
          <w:rFonts w:asciiTheme="majorHAnsi" w:hAnsiTheme="majorHAnsi" w:cstheme="majorHAnsi"/>
          <w:b/>
          <w:bCs/>
          <w:sz w:val="21"/>
          <w:szCs w:val="21"/>
        </w:rPr>
        <w:t>Obtain a copy of your credit report</w:t>
      </w:r>
    </w:p>
    <w:p w:rsidR="00AB1824" w:rsidRPr="001009F8" w:rsidRDefault="00AB1824" w:rsidP="00AB1824">
      <w:pPr>
        <w:pStyle w:val="NoSpacing"/>
        <w:rPr>
          <w:rStyle w:val="A5"/>
          <w:rFonts w:asciiTheme="majorHAnsi" w:hAnsiTheme="majorHAnsi" w:cstheme="majorHAnsi"/>
          <w:sz w:val="21"/>
          <w:szCs w:val="21"/>
        </w:rPr>
      </w:pPr>
      <w:r w:rsidRPr="001009F8">
        <w:rPr>
          <w:rStyle w:val="A5"/>
          <w:rFonts w:asciiTheme="majorHAnsi" w:hAnsiTheme="majorHAnsi" w:cstheme="majorHAnsi"/>
          <w:sz w:val="21"/>
          <w:szCs w:val="21"/>
        </w:rPr>
        <w:t xml:space="preserve">You may obtain a free copy of your credit report from each of the three major credit reporting agencies once every 12 months by visiting </w:t>
      </w:r>
      <w:hyperlink r:id="rId4" w:history="1">
        <w:r w:rsidRPr="001009F8">
          <w:rPr>
            <w:rStyle w:val="Hyperlink"/>
            <w:rFonts w:asciiTheme="majorHAnsi" w:hAnsiTheme="majorHAnsi" w:cstheme="majorHAnsi"/>
            <w:sz w:val="21"/>
            <w:szCs w:val="21"/>
          </w:rPr>
          <w:t>http://www.annualcreditreport.com</w:t>
        </w:r>
      </w:hyperlink>
      <w:r w:rsidRPr="001009F8">
        <w:rPr>
          <w:rStyle w:val="A5"/>
          <w:rFonts w:asciiTheme="majorHAnsi" w:hAnsiTheme="majorHAnsi" w:cstheme="majorHAnsi"/>
          <w:sz w:val="21"/>
          <w:szCs w:val="21"/>
        </w:rPr>
        <w:t>, calling toll-free 877-322-8228, or by completing an Annual Credit Report Request Form and mailing it to Annual Credit Report Request Service, P.O. Box 105281, Atlanta, GA 30348. You can print a copy of the request form at</w:t>
      </w:r>
      <w:r w:rsidRPr="001009F8">
        <w:rPr>
          <w:rFonts w:asciiTheme="majorHAnsi" w:hAnsiTheme="majorHAnsi" w:cstheme="majorHAnsi"/>
          <w:sz w:val="21"/>
          <w:szCs w:val="21"/>
        </w:rPr>
        <w:t xml:space="preserve"> </w:t>
      </w:r>
      <w:hyperlink r:id="rId5" w:history="1">
        <w:r w:rsidRPr="001009F8">
          <w:rPr>
            <w:rStyle w:val="Hyperlink"/>
            <w:rFonts w:asciiTheme="majorHAnsi" w:hAnsiTheme="majorHAnsi" w:cstheme="majorHAnsi"/>
            <w:sz w:val="21"/>
            <w:szCs w:val="21"/>
          </w:rPr>
          <w:t>https://www.annualcreditreport.com/manualRequestForm.action</w:t>
        </w:r>
      </w:hyperlink>
      <w:r w:rsidRPr="001009F8">
        <w:rPr>
          <w:rStyle w:val="A5"/>
          <w:rFonts w:asciiTheme="majorHAnsi" w:hAnsiTheme="majorHAnsi" w:cstheme="majorHAnsi"/>
          <w:sz w:val="21"/>
          <w:szCs w:val="21"/>
        </w:rPr>
        <w:t xml:space="preserve">. Or you can elect to purchase a copy of your credit report by contacting one of the three national credit reporting agencies. Contact information for the three national credit reporting agencies for the purpose of requesting a copy of your credit report or for general inquiries is provided below: </w:t>
      </w:r>
    </w:p>
    <w:p w:rsidR="00AB1824" w:rsidRPr="001009F8" w:rsidRDefault="00AB1824" w:rsidP="00AB1824">
      <w:pPr>
        <w:pStyle w:val="NoSpacing"/>
        <w:rPr>
          <w:rFonts w:asciiTheme="majorHAnsi" w:hAnsiTheme="majorHAnsi" w:cstheme="maj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1824" w:rsidRPr="001009F8" w:rsidTr="001325A7">
        <w:tc>
          <w:tcPr>
            <w:tcW w:w="3116" w:type="dxa"/>
            <w:hideMark/>
          </w:tcPr>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Equifax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(800) 685-1111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www.equifax.com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P.O. Box 740241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Atlanta, GA 30374 </w:t>
            </w:r>
          </w:p>
        </w:tc>
        <w:tc>
          <w:tcPr>
            <w:tcW w:w="3117" w:type="dxa"/>
            <w:hideMark/>
          </w:tcPr>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Experian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(888) 397-3742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www.experian.com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535 Anton Blvd., Suite 100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Costa Mesa, CA 92626 </w:t>
            </w:r>
          </w:p>
        </w:tc>
        <w:tc>
          <w:tcPr>
            <w:tcW w:w="3117" w:type="dxa"/>
            <w:hideMark/>
          </w:tcPr>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TransUnion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(800) 916-8800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www.transunion.com </w:t>
            </w:r>
          </w:p>
          <w:p w:rsidR="00AB1824" w:rsidRPr="001009F8" w:rsidRDefault="00AB1824" w:rsidP="001325A7">
            <w:pPr>
              <w:pStyle w:val="NoSpacing"/>
              <w:rPr>
                <w:rFonts w:asciiTheme="majorHAnsi" w:hAnsiTheme="majorHAnsi" w:cstheme="majorHAnsi"/>
                <w:sz w:val="21"/>
                <w:szCs w:val="21"/>
              </w:rPr>
            </w:pPr>
            <w:r w:rsidRPr="001009F8">
              <w:rPr>
                <w:rStyle w:val="A5"/>
                <w:rFonts w:asciiTheme="majorHAnsi" w:hAnsiTheme="majorHAnsi" w:cstheme="majorHAnsi"/>
                <w:sz w:val="21"/>
                <w:szCs w:val="21"/>
              </w:rPr>
              <w:t xml:space="preserve">P.O. Box 6790 </w:t>
            </w:r>
          </w:p>
          <w:p w:rsidR="00AB1824" w:rsidRPr="001009F8" w:rsidRDefault="00AB1824" w:rsidP="001325A7">
            <w:pPr>
              <w:pStyle w:val="NoSpacing"/>
              <w:rPr>
                <w:rFonts w:asciiTheme="majorHAnsi" w:hAnsiTheme="majorHAnsi" w:cstheme="majorHAnsi"/>
                <w:color w:val="000000"/>
                <w:sz w:val="21"/>
                <w:szCs w:val="21"/>
              </w:rPr>
            </w:pPr>
            <w:r w:rsidRPr="001009F8">
              <w:rPr>
                <w:rStyle w:val="A5"/>
                <w:rFonts w:asciiTheme="majorHAnsi" w:hAnsiTheme="majorHAnsi" w:cstheme="majorHAnsi"/>
                <w:sz w:val="21"/>
                <w:szCs w:val="21"/>
              </w:rPr>
              <w:t>Fullerton, CA 92834</w:t>
            </w:r>
          </w:p>
        </w:tc>
      </w:tr>
    </w:tbl>
    <w:p w:rsidR="00AB1824" w:rsidRPr="001009F8" w:rsidRDefault="00AB1824" w:rsidP="00AB1824">
      <w:pPr>
        <w:pStyle w:val="Default"/>
        <w:rPr>
          <w:rFonts w:asciiTheme="majorHAnsi" w:hAnsiTheme="majorHAnsi" w:cstheme="majorHAnsi"/>
          <w:sz w:val="21"/>
          <w:szCs w:val="21"/>
        </w:rPr>
      </w:pPr>
    </w:p>
    <w:p w:rsidR="00AB1824" w:rsidRPr="001009F8" w:rsidRDefault="00AB1824" w:rsidP="00AB1824">
      <w:pPr>
        <w:pStyle w:val="Default"/>
        <w:jc w:val="both"/>
        <w:rPr>
          <w:rFonts w:asciiTheme="majorHAnsi" w:hAnsiTheme="majorHAnsi" w:cstheme="majorHAnsi"/>
          <w:sz w:val="21"/>
          <w:szCs w:val="21"/>
        </w:rPr>
      </w:pPr>
      <w:r w:rsidRPr="001009F8">
        <w:rPr>
          <w:rStyle w:val="A10"/>
          <w:rFonts w:asciiTheme="majorHAnsi" w:hAnsiTheme="majorHAnsi" w:cstheme="majorHAnsi"/>
          <w:sz w:val="21"/>
          <w:szCs w:val="21"/>
        </w:rPr>
        <w:t>Place fraud alerts</w:t>
      </w:r>
    </w:p>
    <w:p w:rsidR="00AB1824" w:rsidRPr="001009F8" w:rsidRDefault="00AB1824" w:rsidP="00AB1824">
      <w:pPr>
        <w:pStyle w:val="NoSpacing"/>
        <w:rPr>
          <w:rStyle w:val="A5"/>
          <w:rFonts w:asciiTheme="majorHAnsi" w:hAnsiTheme="majorHAnsi" w:cstheme="majorHAnsi"/>
          <w:sz w:val="21"/>
          <w:szCs w:val="21"/>
        </w:rPr>
      </w:pPr>
      <w:r w:rsidRPr="001009F8">
        <w:rPr>
          <w:rStyle w:val="A5"/>
          <w:rFonts w:asciiTheme="majorHAnsi" w:hAnsiTheme="majorHAnsi" w:cstheme="majorHAnsi"/>
          <w:sz w:val="21"/>
          <w:szCs w:val="21"/>
        </w:rPr>
        <w:t xml:space="preserve">You may place a fraud alert on your credit report. An initial fraud alert is free and will stay on your credit file for at least 90 days. The alert informs creditors of possible fraudulent activity within your report and requests that the creditor contact you prior to establishing any accounts in your name. To place a fraud alert on your credit report, contact any of the three credit reporting agencies identified above. Additional information is available at </w:t>
      </w:r>
      <w:hyperlink r:id="rId6" w:history="1">
        <w:r w:rsidRPr="001009F8">
          <w:rPr>
            <w:rStyle w:val="Hyperlink"/>
            <w:rFonts w:asciiTheme="majorHAnsi" w:hAnsiTheme="majorHAnsi" w:cstheme="majorHAnsi"/>
            <w:sz w:val="21"/>
            <w:szCs w:val="21"/>
          </w:rPr>
          <w:t>www.annualcreditreport.com</w:t>
        </w:r>
      </w:hyperlink>
      <w:r w:rsidRPr="001009F8">
        <w:rPr>
          <w:rStyle w:val="A5"/>
          <w:rFonts w:asciiTheme="majorHAnsi" w:hAnsiTheme="majorHAnsi" w:cstheme="majorHAnsi"/>
          <w:sz w:val="21"/>
          <w:szCs w:val="21"/>
        </w:rPr>
        <w:t xml:space="preserve">. </w:t>
      </w:r>
    </w:p>
    <w:p w:rsidR="00AB1824" w:rsidRPr="001009F8" w:rsidRDefault="00AB1824" w:rsidP="00AB1824">
      <w:pPr>
        <w:pStyle w:val="NoSpacing"/>
        <w:jc w:val="both"/>
        <w:rPr>
          <w:rStyle w:val="A5"/>
          <w:rFonts w:asciiTheme="majorHAnsi" w:hAnsiTheme="majorHAnsi" w:cstheme="majorHAnsi"/>
          <w:sz w:val="21"/>
          <w:szCs w:val="21"/>
        </w:rPr>
      </w:pPr>
    </w:p>
    <w:p w:rsidR="00AB1824" w:rsidRPr="001009F8" w:rsidRDefault="00AB1824" w:rsidP="00AB1824">
      <w:pPr>
        <w:pStyle w:val="NoSpacing"/>
        <w:jc w:val="both"/>
        <w:rPr>
          <w:rStyle w:val="A5"/>
          <w:rFonts w:asciiTheme="majorHAnsi" w:hAnsiTheme="majorHAnsi" w:cstheme="majorHAnsi"/>
          <w:b/>
          <w:bCs/>
          <w:sz w:val="21"/>
          <w:szCs w:val="21"/>
        </w:rPr>
      </w:pPr>
      <w:r w:rsidRPr="001009F8">
        <w:rPr>
          <w:rStyle w:val="A5"/>
          <w:rFonts w:asciiTheme="majorHAnsi" w:hAnsiTheme="majorHAnsi" w:cstheme="majorHAnsi"/>
          <w:b/>
          <w:bCs/>
          <w:sz w:val="21"/>
          <w:szCs w:val="21"/>
        </w:rPr>
        <w:t>Implement a security freeze</w:t>
      </w:r>
    </w:p>
    <w:p w:rsidR="00AB1824" w:rsidRPr="001009F8" w:rsidRDefault="00AB1824" w:rsidP="00AB1824">
      <w:pPr>
        <w:pStyle w:val="NoSpacing"/>
        <w:rPr>
          <w:rStyle w:val="A5"/>
          <w:rFonts w:asciiTheme="majorHAnsi" w:hAnsiTheme="majorHAnsi" w:cstheme="majorHAnsi"/>
          <w:sz w:val="21"/>
          <w:szCs w:val="21"/>
        </w:rPr>
      </w:pPr>
      <w:r w:rsidRPr="001009F8">
        <w:rPr>
          <w:rStyle w:val="A5"/>
          <w:rFonts w:asciiTheme="majorHAnsi" w:hAnsiTheme="majorHAnsi" w:cstheme="majorHAnsi"/>
          <w:sz w:val="21"/>
          <w:szCs w:val="21"/>
        </w:rPr>
        <w:t>You have the right to put a security freeze on your credit file. This will prevent new credit from being opened in your name without the use of a PIN number that is issued to you when you initiate the freeze. A security freeze is designed to prevent potential creditors from accessing your credit report without your consent. As a result, using a security freeze may interfere with or delay your ability to obtain credit. You must separately place a security freeze on your credit file with each credit reporting agency. Additionally, if you request a security freeze from a consumer reporting agency there may be a fee to place, lift or remove the security freeze. In order to place a security freeze, you may be required to provide the consumer reporting agency with information that identifies you including your full name, Social Security number, date of birth, current and previous addresses, a copy of your state-issued identification card, and a recent utility bill, bank statement or insurance statement.</w:t>
      </w:r>
    </w:p>
    <w:p w:rsidR="00AB1824" w:rsidRPr="001009F8" w:rsidRDefault="00AB1824" w:rsidP="00AB1824">
      <w:pPr>
        <w:pStyle w:val="NoSpacing"/>
        <w:jc w:val="both"/>
        <w:rPr>
          <w:rStyle w:val="A5"/>
          <w:rFonts w:asciiTheme="majorHAnsi" w:hAnsiTheme="majorHAnsi" w:cstheme="majorHAnsi"/>
          <w:sz w:val="21"/>
          <w:szCs w:val="21"/>
        </w:rPr>
      </w:pPr>
    </w:p>
    <w:p w:rsidR="00AB1824" w:rsidRPr="001009F8" w:rsidRDefault="00AB1824" w:rsidP="00AB1824">
      <w:pPr>
        <w:pStyle w:val="NoSpacing"/>
        <w:jc w:val="both"/>
        <w:rPr>
          <w:rFonts w:asciiTheme="majorHAnsi" w:hAnsiTheme="majorHAnsi" w:cstheme="majorHAnsi"/>
          <w:b/>
          <w:bCs/>
          <w:sz w:val="21"/>
          <w:szCs w:val="21"/>
        </w:rPr>
      </w:pPr>
      <w:r w:rsidRPr="001009F8">
        <w:rPr>
          <w:rFonts w:asciiTheme="majorHAnsi" w:hAnsiTheme="majorHAnsi" w:cstheme="majorHAnsi"/>
          <w:b/>
          <w:bCs/>
          <w:sz w:val="21"/>
          <w:szCs w:val="21"/>
        </w:rPr>
        <w:t>Report suspicious activity</w:t>
      </w:r>
    </w:p>
    <w:p w:rsidR="00AB1824" w:rsidRPr="001009F8" w:rsidRDefault="00AB1824" w:rsidP="001009F8">
      <w:pPr>
        <w:rPr>
          <w:rFonts w:asciiTheme="majorHAnsi" w:hAnsiTheme="majorHAnsi" w:cstheme="majorHAnsi"/>
          <w:sz w:val="21"/>
          <w:szCs w:val="21"/>
        </w:rPr>
      </w:pPr>
      <w:r w:rsidRPr="001009F8">
        <w:rPr>
          <w:rFonts w:asciiTheme="majorHAnsi" w:hAnsiTheme="majorHAnsi" w:cstheme="majorHAnsi"/>
          <w:sz w:val="21"/>
          <w:szCs w:val="21"/>
        </w:rPr>
        <w:t xml:space="preserve">If you detect any suspicious activity on an account, you should promptly notify the financial institution or company with which the account is maintained. You should also promptly report any fraudulent activity or any suspected incidence of identity theft to proper law enforcement authorities, your state attorney general, and/or the Federal Trade Commission. To file a complaint with the FTC, go to </w:t>
      </w:r>
      <w:hyperlink r:id="rId7" w:anchor="/" w:history="1">
        <w:r w:rsidR="00621081" w:rsidRPr="001009F8">
          <w:rPr>
            <w:rStyle w:val="Hyperlink"/>
            <w:rFonts w:asciiTheme="majorHAnsi" w:hAnsiTheme="majorHAnsi" w:cstheme="majorHAnsi"/>
            <w:sz w:val="21"/>
            <w:szCs w:val="21"/>
          </w:rPr>
          <w:t>http://www.reportfraud.ftc.gov/#/</w:t>
        </w:r>
      </w:hyperlink>
      <w:r w:rsidRPr="001009F8">
        <w:rPr>
          <w:rFonts w:asciiTheme="majorHAnsi" w:hAnsiTheme="majorHAnsi" w:cstheme="majorHAnsi"/>
          <w:sz w:val="21"/>
          <w:szCs w:val="21"/>
        </w:rPr>
        <w:t xml:space="preserve">  or call 1-877-ID-THEFT (877-438-4338). Complaints filed with the FTC will be added to the FTC's Identity Theft Data Clearinghouse, which is a database made available to law enforcement agencies.</w:t>
      </w:r>
      <w:r w:rsidR="0094368D" w:rsidRPr="001009F8">
        <w:rPr>
          <w:rFonts w:asciiTheme="majorHAnsi" w:hAnsiTheme="majorHAnsi" w:cstheme="majorHAnsi"/>
          <w:sz w:val="21"/>
          <w:szCs w:val="21"/>
        </w:rPr>
        <w:t xml:space="preserve"> </w:t>
      </w:r>
      <w:r w:rsidR="0094368D" w:rsidRPr="001009F8">
        <w:rPr>
          <w:rFonts w:asciiTheme="majorHAnsi" w:hAnsiTheme="majorHAnsi" w:cstheme="majorHAnsi"/>
          <w:sz w:val="21"/>
          <w:szCs w:val="21"/>
        </w:rPr>
        <w:t>The FTC can be reached by mail at 600 Pennsylvania Avenue NW, Washington, DC 20580.</w:t>
      </w:r>
      <w:r w:rsidR="00E35187" w:rsidRPr="001009F8">
        <w:rPr>
          <w:rFonts w:asciiTheme="majorHAnsi" w:hAnsiTheme="majorHAnsi" w:cstheme="majorHAnsi"/>
          <w:sz w:val="21"/>
          <w:szCs w:val="21"/>
        </w:rPr>
        <w:t xml:space="preserve"> You may also obtain information from the Federal Trade Commission about fraud alerts and security freezes.</w:t>
      </w:r>
    </w:p>
    <w:p w:rsidR="00AB1824" w:rsidRPr="001009F8" w:rsidRDefault="00AB1824" w:rsidP="00AB1824">
      <w:pPr>
        <w:pStyle w:val="NoSpacing"/>
        <w:jc w:val="both"/>
        <w:rPr>
          <w:rFonts w:asciiTheme="majorHAnsi" w:hAnsiTheme="majorHAnsi" w:cstheme="majorHAnsi"/>
          <w:b/>
          <w:bCs/>
          <w:sz w:val="21"/>
          <w:szCs w:val="21"/>
        </w:rPr>
      </w:pPr>
      <w:r w:rsidRPr="001009F8">
        <w:rPr>
          <w:rFonts w:asciiTheme="majorHAnsi" w:hAnsiTheme="majorHAnsi" w:cstheme="majorHAnsi"/>
          <w:b/>
          <w:bCs/>
          <w:sz w:val="21"/>
          <w:szCs w:val="21"/>
        </w:rPr>
        <w:t>Combat identity theft</w:t>
      </w:r>
    </w:p>
    <w:p w:rsidR="007B32FE" w:rsidRPr="001009F8" w:rsidRDefault="00AB1824" w:rsidP="006F461A">
      <w:pPr>
        <w:pStyle w:val="NoSpacing"/>
        <w:rPr>
          <w:rFonts w:asciiTheme="majorHAnsi" w:hAnsiTheme="majorHAnsi" w:cstheme="majorHAnsi"/>
          <w:color w:val="000000"/>
          <w:sz w:val="21"/>
          <w:szCs w:val="21"/>
        </w:rPr>
      </w:pPr>
      <w:r w:rsidRPr="001009F8">
        <w:rPr>
          <w:rFonts w:asciiTheme="majorHAnsi" w:hAnsiTheme="majorHAnsi" w:cstheme="majorHAnsi"/>
          <w:color w:val="000000"/>
          <w:sz w:val="21"/>
          <w:szCs w:val="21"/>
        </w:rPr>
        <w:lastRenderedPageBreak/>
        <w:t xml:space="preserve">A copy of </w:t>
      </w:r>
      <w:r w:rsidRPr="001009F8">
        <w:rPr>
          <w:rFonts w:asciiTheme="majorHAnsi" w:hAnsiTheme="majorHAnsi" w:cstheme="majorHAnsi"/>
          <w:i/>
          <w:iCs/>
          <w:color w:val="000000"/>
          <w:sz w:val="21"/>
          <w:szCs w:val="21"/>
        </w:rPr>
        <w:t>Taking Charge: What to Do if Your Identity is Stolen</w:t>
      </w:r>
      <w:r w:rsidRPr="001009F8">
        <w:rPr>
          <w:rFonts w:asciiTheme="majorHAnsi" w:hAnsiTheme="majorHAnsi" w:cstheme="majorHAnsi"/>
          <w:color w:val="000000"/>
          <w:sz w:val="21"/>
          <w:szCs w:val="21"/>
        </w:rPr>
        <w:t xml:space="preserve">, a comprehensive guide from the FTC to help you guard against and deal with identity theft, can be found on the FTC's website at </w:t>
      </w:r>
      <w:hyperlink r:id="rId8" w:history="1">
        <w:r w:rsidR="00FF4DF2" w:rsidRPr="001009F8">
          <w:rPr>
            <w:rStyle w:val="Hyperlink"/>
            <w:rFonts w:asciiTheme="majorHAnsi" w:hAnsiTheme="majorHAnsi" w:cstheme="majorHAnsi"/>
            <w:sz w:val="21"/>
            <w:szCs w:val="21"/>
          </w:rPr>
          <w:t>https://www.bulkorder.ftc.gov/system/files/publications/501a_idt_a_recovery_plan_508.pdf</w:t>
        </w:r>
      </w:hyperlink>
      <w:r w:rsidRPr="001009F8">
        <w:rPr>
          <w:rFonts w:asciiTheme="majorHAnsi" w:hAnsiTheme="majorHAnsi" w:cstheme="majorHAnsi"/>
          <w:color w:val="000000"/>
          <w:sz w:val="21"/>
          <w:szCs w:val="21"/>
        </w:rPr>
        <w:t xml:space="preserve">. </w:t>
      </w:r>
    </w:p>
    <w:sectPr w:rsidR="007B32FE" w:rsidRPr="0010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nowledge Bold">
    <w:altName w:val="Knowledge Bold"/>
    <w:panose1 w:val="00000000000000000000"/>
    <w:charset w:val="00"/>
    <w:family w:val="swiss"/>
    <w:notTrueType/>
    <w:pitch w:val="default"/>
    <w:sig w:usb0="00000003" w:usb1="00000000" w:usb2="00000000" w:usb3="00000000" w:csb0="00000001" w:csb1="00000000"/>
  </w:font>
  <w:font w:name="Knowledge Light">
    <w:altName w:val="Knowledg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21"/>
    <w:rsid w:val="000226F4"/>
    <w:rsid w:val="0008365D"/>
    <w:rsid w:val="001009F8"/>
    <w:rsid w:val="00125226"/>
    <w:rsid w:val="001325A7"/>
    <w:rsid w:val="001B5B82"/>
    <w:rsid w:val="00280280"/>
    <w:rsid w:val="003539B6"/>
    <w:rsid w:val="00452E2E"/>
    <w:rsid w:val="004A160A"/>
    <w:rsid w:val="00577DCC"/>
    <w:rsid w:val="00621081"/>
    <w:rsid w:val="006F1AEA"/>
    <w:rsid w:val="006F461A"/>
    <w:rsid w:val="00757E62"/>
    <w:rsid w:val="007B32FE"/>
    <w:rsid w:val="007B7E66"/>
    <w:rsid w:val="0092614F"/>
    <w:rsid w:val="0094368D"/>
    <w:rsid w:val="00A60BF1"/>
    <w:rsid w:val="00AB1824"/>
    <w:rsid w:val="00AE7CB7"/>
    <w:rsid w:val="00B0541B"/>
    <w:rsid w:val="00B07289"/>
    <w:rsid w:val="00B1360D"/>
    <w:rsid w:val="00B47F4E"/>
    <w:rsid w:val="00BA3FAC"/>
    <w:rsid w:val="00C90521"/>
    <w:rsid w:val="00C93D7A"/>
    <w:rsid w:val="00D359EF"/>
    <w:rsid w:val="00DC320E"/>
    <w:rsid w:val="00E35187"/>
    <w:rsid w:val="00E95ABA"/>
    <w:rsid w:val="00EF3CEE"/>
    <w:rsid w:val="00FA74F2"/>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01F5"/>
  <w15:chartTrackingRefBased/>
  <w15:docId w15:val="{DFD2D079-B21F-4DA0-94C0-AB68B1FA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824"/>
    <w:pPr>
      <w:spacing w:after="0" w:line="240" w:lineRule="auto"/>
    </w:pPr>
  </w:style>
  <w:style w:type="character" w:styleId="Hyperlink">
    <w:name w:val="Hyperlink"/>
    <w:basedOn w:val="DefaultParagraphFont"/>
    <w:uiPriority w:val="99"/>
    <w:unhideWhenUsed/>
    <w:rsid w:val="00AB1824"/>
    <w:rPr>
      <w:color w:val="0563C1" w:themeColor="hyperlink"/>
      <w:u w:val="single"/>
    </w:rPr>
  </w:style>
  <w:style w:type="paragraph" w:customStyle="1" w:styleId="Default">
    <w:name w:val="Default"/>
    <w:rsid w:val="00AB1824"/>
    <w:pPr>
      <w:autoSpaceDE w:val="0"/>
      <w:autoSpaceDN w:val="0"/>
      <w:adjustRightInd w:val="0"/>
      <w:spacing w:after="0" w:line="240" w:lineRule="auto"/>
    </w:pPr>
    <w:rPr>
      <w:rFonts w:ascii="Knowledge Bold" w:hAnsi="Knowledge Bold" w:cs="Knowledge Bold"/>
      <w:color w:val="000000"/>
      <w:sz w:val="24"/>
      <w:szCs w:val="24"/>
    </w:rPr>
  </w:style>
  <w:style w:type="character" w:customStyle="1" w:styleId="A10">
    <w:name w:val="A10"/>
    <w:uiPriority w:val="99"/>
    <w:rsid w:val="00AB1824"/>
    <w:rPr>
      <w:rFonts w:cs="Knowledge Bold"/>
      <w:b/>
      <w:bCs/>
      <w:color w:val="000000"/>
      <w:sz w:val="20"/>
      <w:szCs w:val="20"/>
    </w:rPr>
  </w:style>
  <w:style w:type="character" w:customStyle="1" w:styleId="A5">
    <w:name w:val="A5"/>
    <w:uiPriority w:val="99"/>
    <w:rsid w:val="00AB1824"/>
    <w:rPr>
      <w:rFonts w:ascii="Knowledge Light" w:hAnsi="Knowledge Light" w:cs="Knowledge Light"/>
      <w:color w:val="000000"/>
      <w:sz w:val="19"/>
      <w:szCs w:val="19"/>
    </w:rPr>
  </w:style>
  <w:style w:type="table" w:styleId="TableGrid">
    <w:name w:val="Table Grid"/>
    <w:basedOn w:val="TableNormal"/>
    <w:uiPriority w:val="39"/>
    <w:rsid w:val="00AB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4DF2"/>
    <w:rPr>
      <w:color w:val="954F72" w:themeColor="followedHyperlink"/>
      <w:u w:val="single"/>
    </w:rPr>
  </w:style>
  <w:style w:type="character" w:styleId="UnresolvedMention">
    <w:name w:val="Unresolved Mention"/>
    <w:basedOn w:val="DefaultParagraphFont"/>
    <w:uiPriority w:val="99"/>
    <w:semiHidden/>
    <w:unhideWhenUsed/>
    <w:rsid w:val="00FF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korder.ftc.gov/system/files/publications/501a_idt_a_recovery_plan_508.pdf" TargetMode="External"/><Relationship Id="rId3" Type="http://schemas.openxmlformats.org/officeDocument/2006/relationships/webSettings" Target="webSettings.xml"/><Relationship Id="rId7" Type="http://schemas.openxmlformats.org/officeDocument/2006/relationships/hyperlink" Target="http://www.reportfraud.ft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nualcreditreport.com" TargetMode="External"/><Relationship Id="rId5" Type="http://schemas.openxmlformats.org/officeDocument/2006/relationships/hyperlink" Target="https://www.annualcreditreport.com/manualRequestForm.action" TargetMode="External"/><Relationship Id="rId10" Type="http://schemas.openxmlformats.org/officeDocument/2006/relationships/theme" Target="theme/theme1.xml"/><Relationship Id="rId4" Type="http://schemas.openxmlformats.org/officeDocument/2006/relationships/hyperlink" Target="http://www.annualcreditrepor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UBX Cloud</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Ghadami</dc:creator>
  <cp:keywords/>
  <dc:description/>
  <cp:lastModifiedBy>Shana Ghadami</cp:lastModifiedBy>
  <cp:revision>7</cp:revision>
  <dcterms:created xsi:type="dcterms:W3CDTF">2022-06-15T18:33:00Z</dcterms:created>
  <dcterms:modified xsi:type="dcterms:W3CDTF">2022-06-23T19:08:00Z</dcterms:modified>
</cp:coreProperties>
</file>